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9921" w14:textId="0B13CC11" w:rsidR="00FB2743" w:rsidRPr="00FB2743" w:rsidRDefault="00176213" w:rsidP="00FB274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</w:t>
      </w:r>
      <w:r w:rsidRPr="00FB2743">
        <w:rPr>
          <w:b/>
          <w:bCs/>
          <w:sz w:val="48"/>
          <w:szCs w:val="48"/>
        </w:rPr>
        <w:t>le-de-France Mobilité</w:t>
      </w:r>
      <w:r>
        <w:rPr>
          <w:b/>
          <w:bCs/>
          <w:sz w:val="48"/>
          <w:szCs w:val="48"/>
        </w:rPr>
        <w:t>s</w:t>
      </w:r>
      <w:r w:rsidRPr="00FB2743"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c</w:t>
      </w:r>
      <w:r w:rsidR="00FB2743" w:rsidRPr="00FB2743">
        <w:rPr>
          <w:b/>
          <w:bCs/>
          <w:sz w:val="48"/>
          <w:szCs w:val="48"/>
        </w:rPr>
        <w:t>arbon</w:t>
      </w:r>
      <w:proofErr w:type="spellEnd"/>
      <w:r w:rsidR="00FB2743" w:rsidRPr="00FB2743">
        <w:rPr>
          <w:b/>
          <w:bCs/>
          <w:sz w:val="48"/>
          <w:szCs w:val="48"/>
        </w:rPr>
        <w:t xml:space="preserve"> </w:t>
      </w:r>
      <w:proofErr w:type="spellStart"/>
      <w:r w:rsidR="00FB2743" w:rsidRPr="00FB2743">
        <w:rPr>
          <w:b/>
          <w:bCs/>
          <w:sz w:val="48"/>
          <w:szCs w:val="48"/>
        </w:rPr>
        <w:t>footprint</w:t>
      </w:r>
      <w:proofErr w:type="spellEnd"/>
      <w:r w:rsidR="00FB2743" w:rsidRPr="00FB2743">
        <w:rPr>
          <w:b/>
          <w:bCs/>
          <w:sz w:val="48"/>
          <w:szCs w:val="48"/>
        </w:rPr>
        <w:t xml:space="preserve"> 2023 </w:t>
      </w:r>
    </w:p>
    <w:p w14:paraId="771C891B" w14:textId="42051678" w:rsidR="000E19F2" w:rsidRDefault="000E19F2" w:rsidP="000E19F2">
      <w:r>
        <w:t xml:space="preserve">This report </w:t>
      </w:r>
      <w:proofErr w:type="spellStart"/>
      <w:r w:rsidR="00FB2743">
        <w:t>presents</w:t>
      </w:r>
      <w:proofErr w:type="spellEnd"/>
      <w:r>
        <w:t xml:space="preserve"> the </w:t>
      </w:r>
      <w:proofErr w:type="spellStart"/>
      <w:r>
        <w:t>results</w:t>
      </w:r>
      <w:proofErr w:type="spellEnd"/>
      <w:r>
        <w:t xml:space="preserve"> of the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by </w:t>
      </w:r>
      <w:proofErr w:type="spellStart"/>
      <w:r>
        <w:t>Inddigo</w:t>
      </w:r>
      <w:proofErr w:type="spellEnd"/>
      <w:r>
        <w:t xml:space="preserve"> in the first </w:t>
      </w:r>
      <w:proofErr w:type="spellStart"/>
      <w:r>
        <w:t>half</w:t>
      </w:r>
      <w:proofErr w:type="spellEnd"/>
      <w:r>
        <w:t xml:space="preserve"> of 2023. The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for the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2021.</w:t>
      </w:r>
    </w:p>
    <w:p w14:paraId="1CC4DA61" w14:textId="583BDC20" w:rsidR="000E19F2" w:rsidRDefault="000E19F2" w:rsidP="000E19F2">
      <w:r>
        <w:t xml:space="preserve">For 2021, Île-de-France Mobilités'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are </w:t>
      </w:r>
      <w:proofErr w:type="spellStart"/>
      <w:r>
        <w:t>estimated</w:t>
      </w:r>
      <w:proofErr w:type="spellEnd"/>
      <w:r>
        <w:t xml:space="preserve"> at 22,000 TCO2</w:t>
      </w:r>
      <w:r w:rsidR="00FB2743">
        <w:t>e</w:t>
      </w:r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correspond to Île-de-France Mobilités'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and do not </w:t>
      </w:r>
      <w:proofErr w:type="spellStart"/>
      <w:r>
        <w:t>include</w:t>
      </w:r>
      <w:proofErr w:type="spellEnd"/>
      <w:r>
        <w:t xml:space="preserve"> Ile-de-France </w:t>
      </w:r>
      <w:proofErr w:type="spellStart"/>
      <w:r>
        <w:t>mobility</w:t>
      </w:r>
      <w:proofErr w:type="spellEnd"/>
      <w:r>
        <w:t xml:space="preserve"> on public transport. This document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summary</w:t>
      </w:r>
      <w:proofErr w:type="spellEnd"/>
      <w:r>
        <w:t xml:space="preserve"> of the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</w:p>
    <w:p w14:paraId="46FA8199" w14:textId="4AD78481" w:rsidR="000E19F2" w:rsidRDefault="000E19F2" w:rsidP="000E19F2">
      <w:proofErr w:type="spellStart"/>
      <w:r>
        <w:t>Two-thirds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are indirect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the </w:t>
      </w:r>
      <w:proofErr w:type="spellStart"/>
      <w:r>
        <w:t>purchase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and services </w:t>
      </w:r>
      <w:proofErr w:type="spellStart"/>
      <w:r>
        <w:t>required</w:t>
      </w:r>
      <w:proofErr w:type="spellEnd"/>
      <w:r>
        <w:t xml:space="preserve"> for the </w:t>
      </w:r>
      <w:proofErr w:type="spellStart"/>
      <w:r>
        <w:t>day</w:t>
      </w:r>
      <w:proofErr w:type="spellEnd"/>
      <w:r>
        <w:t>-to-</w:t>
      </w:r>
      <w:proofErr w:type="spellStart"/>
      <w:r>
        <w:t>day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Île-de-France Mobilités. More </w:t>
      </w:r>
      <w:proofErr w:type="spellStart"/>
      <w:r>
        <w:t>specifically</w:t>
      </w:r>
      <w:proofErr w:type="spellEnd"/>
      <w:r>
        <w:t xml:space="preserve">, the use of services </w:t>
      </w:r>
      <w:proofErr w:type="spellStart"/>
      <w:r>
        <w:t>is</w:t>
      </w:r>
      <w:proofErr w:type="spellEnd"/>
      <w:r>
        <w:t xml:space="preserve"> the main </w:t>
      </w:r>
      <w:proofErr w:type="spellStart"/>
      <w:r>
        <w:t>contributor</w:t>
      </w:r>
      <w:proofErr w:type="spellEnd"/>
      <w:r>
        <w:t xml:space="preserve"> to </w:t>
      </w:r>
      <w:proofErr w:type="spellStart"/>
      <w:r w:rsidR="00FB2743"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>.</w:t>
      </w:r>
    </w:p>
    <w:p w14:paraId="134A9391" w14:textId="763381B1" w:rsidR="000E19F2" w:rsidRDefault="000E19F2" w:rsidP="000E19F2">
      <w:r>
        <w:t xml:space="preserve">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by indirect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Île-de-France Mobilités' assets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depreciated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for 31% of the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, or </w:t>
      </w:r>
      <w:proofErr w:type="spellStart"/>
      <w:r>
        <w:t>nearly</w:t>
      </w:r>
      <w:proofErr w:type="spellEnd"/>
      <w:r>
        <w:t xml:space="preserve"> 6,800 TCO2</w:t>
      </w:r>
      <w:r w:rsidR="00FB2743">
        <w:t>e</w:t>
      </w:r>
      <w:r>
        <w:t xml:space="preserve">.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opening</w:t>
      </w:r>
      <w:proofErr w:type="spellEnd"/>
      <w:r>
        <w:t xml:space="preserve"> up to </w:t>
      </w:r>
      <w:proofErr w:type="spellStart"/>
      <w:r>
        <w:t>competition</w:t>
      </w:r>
      <w:proofErr w:type="spellEnd"/>
      <w:r>
        <w:t xml:space="preserve">, Île-de-France Mobilités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acquiring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of the </w:t>
      </w:r>
      <w:proofErr w:type="spellStart"/>
      <w:r>
        <w:t>historic</w:t>
      </w:r>
      <w:proofErr w:type="spellEnd"/>
      <w:r>
        <w:t xml:space="preserve"> bus and coach </w:t>
      </w:r>
      <w:proofErr w:type="spellStart"/>
      <w:r>
        <w:t>fleets</w:t>
      </w:r>
      <w:proofErr w:type="spellEnd"/>
      <w:r>
        <w:t xml:space="preserve"> of transport </w:t>
      </w:r>
      <w:proofErr w:type="spellStart"/>
      <w:r>
        <w:t>operators</w:t>
      </w:r>
      <w:proofErr w:type="spellEnd"/>
      <w:r>
        <w:t xml:space="preserve">,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new </w:t>
      </w:r>
      <w:proofErr w:type="spellStart"/>
      <w:r>
        <w:t>fleets</w:t>
      </w:r>
      <w:proofErr w:type="spellEnd"/>
      <w:r>
        <w:t xml:space="preserve"> and the </w:t>
      </w:r>
      <w:proofErr w:type="spellStart"/>
      <w:r>
        <w:t>related</w:t>
      </w:r>
      <w:proofErr w:type="spellEnd"/>
      <w:r>
        <w:t xml:space="preserve"> infrastructure.</w:t>
      </w:r>
    </w:p>
    <w:p w14:paraId="04581284" w14:textId="1CE7706C" w:rsidR="000E19F2" w:rsidRDefault="000E19F2" w:rsidP="000E19F2">
      <w:proofErr w:type="spellStart"/>
      <w:r>
        <w:t>These</w:t>
      </w:r>
      <w:proofErr w:type="spellEnd"/>
      <w:r>
        <w:t xml:space="preserve"> assets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Île-de-France Mobilités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, </w:t>
      </w:r>
      <w:proofErr w:type="spellStart"/>
      <w:r>
        <w:t>whereas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r w:rsidR="00FB2743">
        <w:t xml:space="preserve">the </w:t>
      </w:r>
      <w:proofErr w:type="spellStart"/>
      <w:r w:rsidR="00FB2743">
        <w:t>carbon</w:t>
      </w:r>
      <w:proofErr w:type="spellEnd"/>
      <w:r w:rsidR="00FB2743">
        <w:t xml:space="preserve"> </w:t>
      </w:r>
      <w:proofErr w:type="spellStart"/>
      <w:r w:rsidR="00FB2743">
        <w:t>footprint</w:t>
      </w:r>
      <w:proofErr w:type="spellEnd"/>
      <w:r w:rsidR="00FB2743">
        <w:t xml:space="preserve"> </w:t>
      </w:r>
      <w:r>
        <w:t xml:space="preserve">of the transport </w:t>
      </w:r>
      <w:proofErr w:type="spellStart"/>
      <w:r>
        <w:t>operators</w:t>
      </w:r>
      <w:proofErr w:type="spellEnd"/>
      <w:r>
        <w:t>.</w:t>
      </w:r>
    </w:p>
    <w:p w14:paraId="41CAFF23" w14:textId="0A00F0FE" w:rsidR="000E19F2" w:rsidRDefault="000E19F2" w:rsidP="000E19F2">
      <w:proofErr w:type="spellStart"/>
      <w:r>
        <w:t>Finally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as a </w:t>
      </w:r>
      <w:proofErr w:type="spellStart"/>
      <w:r>
        <w:t>whole</w:t>
      </w:r>
      <w:proofErr w:type="spellEnd"/>
      <w:r>
        <w:t xml:space="preserve"> (staff home-</w:t>
      </w:r>
      <w:proofErr w:type="spellStart"/>
      <w:r>
        <w:t>work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,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 and </w:t>
      </w:r>
      <w:proofErr w:type="spellStart"/>
      <w:r>
        <w:t>consumption</w:t>
      </w:r>
      <w:proofErr w:type="spellEnd"/>
      <w:r>
        <w:t xml:space="preserve"> of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) </w:t>
      </w:r>
      <w:proofErr w:type="spellStart"/>
      <w:r>
        <w:t>accounts</w:t>
      </w:r>
      <w:proofErr w:type="spellEnd"/>
      <w:r>
        <w:t xml:space="preserve"> for 4% of GHG </w:t>
      </w:r>
      <w:proofErr w:type="spellStart"/>
      <w:r>
        <w:t>emissions</w:t>
      </w:r>
      <w:proofErr w:type="spellEnd"/>
      <w:r>
        <w:t>, or 840 TCO2</w:t>
      </w:r>
      <w:r w:rsidR="007D72B9">
        <w:t>e</w:t>
      </w:r>
      <w:r>
        <w:t>.</w:t>
      </w:r>
    </w:p>
    <w:p w14:paraId="2F0BD202" w14:textId="23AAA980" w:rsidR="000E19F2" w:rsidRDefault="000E19F2" w:rsidP="000E19F2">
      <w:proofErr w:type="spellStart"/>
      <w:r>
        <w:t>These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items </w:t>
      </w:r>
      <w:proofErr w:type="spellStart"/>
      <w:r>
        <w:t>account</w:t>
      </w:r>
      <w:proofErr w:type="spellEnd"/>
      <w:r>
        <w:t xml:space="preserve"> for 98.8% of the GHG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>.</w:t>
      </w:r>
    </w:p>
    <w:p w14:paraId="4929B294" w14:textId="77777777" w:rsidR="00FB2743" w:rsidRDefault="00FB2743" w:rsidP="000E19F2"/>
    <w:tbl>
      <w:tblPr>
        <w:tblStyle w:val="TableauStyle1Inddigo"/>
        <w:tblW w:w="9776" w:type="dxa"/>
        <w:jc w:val="center"/>
        <w:tblLook w:val="04A0" w:firstRow="1" w:lastRow="0" w:firstColumn="1" w:lastColumn="0" w:noHBand="0" w:noVBand="1"/>
      </w:tblPr>
      <w:tblGrid>
        <w:gridCol w:w="4537"/>
        <w:gridCol w:w="3686"/>
        <w:gridCol w:w="1553"/>
      </w:tblGrid>
      <w:tr w:rsidR="00C002B5" w:rsidRPr="00006EE5" w14:paraId="35290EE6" w14:textId="77777777" w:rsidTr="007D7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4537" w:type="dxa"/>
            <w:shd w:val="clear" w:color="auto" w:fill="3A7C22" w:themeFill="accent6" w:themeFillShade="BF"/>
            <w:noWrap/>
            <w:hideMark/>
          </w:tcPr>
          <w:p w14:paraId="05134578" w14:textId="77777777" w:rsidR="00C002B5" w:rsidRPr="00E619BB" w:rsidRDefault="00C002B5" w:rsidP="002362BA">
            <w:pPr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Regulatory title</w:t>
            </w:r>
          </w:p>
        </w:tc>
        <w:tc>
          <w:tcPr>
            <w:tcW w:w="3686" w:type="dxa"/>
            <w:shd w:val="clear" w:color="auto" w:fill="3A7C22" w:themeFill="accent6" w:themeFillShade="BF"/>
            <w:noWrap/>
            <w:hideMark/>
          </w:tcPr>
          <w:p w14:paraId="4F5CC025" w14:textId="77777777" w:rsidR="00C002B5" w:rsidRPr="00E619BB" w:rsidRDefault="00C002B5" w:rsidP="002362B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Type of emission</w:t>
            </w:r>
          </w:p>
        </w:tc>
        <w:tc>
          <w:tcPr>
            <w:tcW w:w="1553" w:type="dxa"/>
            <w:shd w:val="clear" w:color="auto" w:fill="3A7C22" w:themeFill="accent6" w:themeFillShade="BF"/>
            <w:noWrap/>
            <w:hideMark/>
          </w:tcPr>
          <w:p w14:paraId="34442415" w14:textId="77777777" w:rsidR="00C002B5" w:rsidRPr="00E619BB" w:rsidRDefault="00C002B5" w:rsidP="002362B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GHG in tCO2e</w:t>
            </w:r>
          </w:p>
        </w:tc>
      </w:tr>
      <w:tr w:rsidR="00C002B5" w:rsidRPr="00006EE5" w14:paraId="645F4129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032D5C29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4.1 &amp; 4.5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Purchases of goods and services</w:t>
            </w:r>
          </w:p>
        </w:tc>
        <w:tc>
          <w:tcPr>
            <w:tcW w:w="3686" w:type="dxa"/>
            <w:noWrap/>
            <w:hideMark/>
          </w:tcPr>
          <w:p w14:paraId="7E3532C2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Purchases of goods and services</w:t>
            </w:r>
          </w:p>
        </w:tc>
        <w:tc>
          <w:tcPr>
            <w:tcW w:w="1553" w:type="dxa"/>
            <w:noWrap/>
            <w:hideMark/>
          </w:tcPr>
          <w:p w14:paraId="59E94094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14 200</w:t>
            </w:r>
          </w:p>
        </w:tc>
      </w:tr>
      <w:tr w:rsidR="00C002B5" w:rsidRPr="00006EE5" w14:paraId="76C4C781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3553A21A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4.2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Fixed assets</w:t>
            </w:r>
          </w:p>
        </w:tc>
        <w:tc>
          <w:tcPr>
            <w:tcW w:w="3686" w:type="dxa"/>
            <w:noWrap/>
            <w:hideMark/>
          </w:tcPr>
          <w:p w14:paraId="647EA1F9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Fixed assets</w:t>
            </w:r>
          </w:p>
        </w:tc>
        <w:tc>
          <w:tcPr>
            <w:tcW w:w="1553" w:type="dxa"/>
            <w:noWrap/>
            <w:hideMark/>
          </w:tcPr>
          <w:p w14:paraId="6918C830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6 784</w:t>
            </w:r>
          </w:p>
        </w:tc>
      </w:tr>
      <w:tr w:rsidR="00C002B5" w:rsidRPr="00006EE5" w14:paraId="6D124229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7626998B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3.4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Trips of visitors and clients </w:t>
            </w:r>
          </w:p>
        </w:tc>
        <w:tc>
          <w:tcPr>
            <w:tcW w:w="3686" w:type="dxa"/>
            <w:noWrap/>
            <w:hideMark/>
          </w:tcPr>
          <w:p w14:paraId="41DD6919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Trips of visitors and clients</w:t>
            </w:r>
          </w:p>
        </w:tc>
        <w:tc>
          <w:tcPr>
            <w:tcW w:w="1553" w:type="dxa"/>
            <w:noWrap/>
            <w:hideMark/>
          </w:tcPr>
          <w:p w14:paraId="6615CACF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778</w:t>
            </w:r>
          </w:p>
        </w:tc>
      </w:tr>
      <w:tr w:rsidR="00C002B5" w:rsidRPr="00006EE5" w14:paraId="6C5C5628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70810C5D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2.1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Electricity consumption</w:t>
            </w:r>
          </w:p>
        </w:tc>
        <w:tc>
          <w:tcPr>
            <w:tcW w:w="3686" w:type="dxa"/>
            <w:noWrap/>
            <w:hideMark/>
          </w:tcPr>
          <w:p w14:paraId="21C4342A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Electricity consumption</w:t>
            </w:r>
          </w:p>
        </w:tc>
        <w:tc>
          <w:tcPr>
            <w:tcW w:w="1553" w:type="dxa"/>
            <w:noWrap/>
            <w:hideMark/>
          </w:tcPr>
          <w:p w14:paraId="7F11E3C7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95</w:t>
            </w:r>
          </w:p>
        </w:tc>
      </w:tr>
      <w:tr w:rsidR="00C002B5" w:rsidRPr="00006EE5" w14:paraId="5F12FFA1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2D6228F4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1.4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Leaks</w:t>
            </w:r>
          </w:p>
        </w:tc>
        <w:tc>
          <w:tcPr>
            <w:tcW w:w="3686" w:type="dxa"/>
            <w:noWrap/>
            <w:hideMark/>
          </w:tcPr>
          <w:p w14:paraId="29C9EC30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Liquid refrigerants leaks</w:t>
            </w:r>
          </w:p>
        </w:tc>
        <w:tc>
          <w:tcPr>
            <w:tcW w:w="1553" w:type="dxa"/>
            <w:noWrap/>
            <w:hideMark/>
          </w:tcPr>
          <w:p w14:paraId="4276B538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48</w:t>
            </w:r>
          </w:p>
        </w:tc>
      </w:tr>
      <w:tr w:rsidR="00C002B5" w:rsidRPr="00006EE5" w14:paraId="70AA7927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76E5BEF8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2.2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Energy consumption besides electricity</w:t>
            </w:r>
          </w:p>
        </w:tc>
        <w:tc>
          <w:tcPr>
            <w:tcW w:w="3686" w:type="dxa"/>
            <w:noWrap/>
            <w:hideMark/>
          </w:tcPr>
          <w:p w14:paraId="66DC171E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Consumption of heat networks</w:t>
            </w:r>
          </w:p>
        </w:tc>
        <w:tc>
          <w:tcPr>
            <w:tcW w:w="1553" w:type="dxa"/>
            <w:noWrap/>
            <w:hideMark/>
          </w:tcPr>
          <w:p w14:paraId="246FD0D0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42</w:t>
            </w:r>
          </w:p>
        </w:tc>
      </w:tr>
      <w:tr w:rsidR="00C002B5" w:rsidRPr="00006EE5" w14:paraId="717DF890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56F6B2D8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4.3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Wastes management</w:t>
            </w:r>
          </w:p>
        </w:tc>
        <w:tc>
          <w:tcPr>
            <w:tcW w:w="3686" w:type="dxa"/>
            <w:noWrap/>
            <w:hideMark/>
          </w:tcPr>
          <w:p w14:paraId="5137F50A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Wastes management</w:t>
            </w:r>
          </w:p>
        </w:tc>
        <w:tc>
          <w:tcPr>
            <w:tcW w:w="1553" w:type="dxa"/>
            <w:noWrap/>
            <w:hideMark/>
          </w:tcPr>
          <w:p w14:paraId="6AC0620A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41</w:t>
            </w:r>
          </w:p>
        </w:tc>
      </w:tr>
      <w:tr w:rsidR="00C002B5" w:rsidRPr="00006EE5" w14:paraId="1803CC5C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08B5B1D7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3.3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Employee commuting</w:t>
            </w:r>
          </w:p>
        </w:tc>
        <w:tc>
          <w:tcPr>
            <w:tcW w:w="3686" w:type="dxa"/>
            <w:noWrap/>
            <w:hideMark/>
          </w:tcPr>
          <w:p w14:paraId="3D742C98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Employee commuting</w:t>
            </w:r>
          </w:p>
        </w:tc>
        <w:tc>
          <w:tcPr>
            <w:tcW w:w="1553" w:type="dxa"/>
            <w:noWrap/>
            <w:hideMark/>
          </w:tcPr>
          <w:p w14:paraId="2CDF927F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39</w:t>
            </w:r>
          </w:p>
        </w:tc>
      </w:tr>
      <w:tr w:rsidR="00C002B5" w:rsidRPr="00006EE5" w14:paraId="4E968615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64C39E11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3.5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Business trips</w:t>
            </w:r>
          </w:p>
        </w:tc>
        <w:tc>
          <w:tcPr>
            <w:tcW w:w="3686" w:type="dxa"/>
            <w:noWrap/>
            <w:hideMark/>
          </w:tcPr>
          <w:p w14:paraId="3F93D84E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Business trips</w:t>
            </w:r>
          </w:p>
        </w:tc>
        <w:tc>
          <w:tcPr>
            <w:tcW w:w="1553" w:type="dxa"/>
            <w:noWrap/>
            <w:hideMark/>
          </w:tcPr>
          <w:p w14:paraId="25DDF1EB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24</w:t>
            </w:r>
          </w:p>
        </w:tc>
      </w:tr>
      <w:tr w:rsidR="00C002B5" w:rsidRPr="00006EE5" w14:paraId="7E672DD6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7FA2B8EE" w14:textId="77777777" w:rsidR="00C002B5" w:rsidRPr="00E619BB" w:rsidRDefault="00C002B5" w:rsidP="002362BA">
            <w:pPr>
              <w:spacing w:before="10" w:after="10"/>
              <w:jc w:val="left"/>
              <w:rPr>
                <w:lang w:val="en-GB"/>
              </w:rPr>
            </w:pPr>
            <w:r w:rsidRPr="00E619BB">
              <w:rPr>
                <w:b/>
                <w:bCs/>
                <w:lang w:val="en-GB"/>
              </w:rPr>
              <w:t>1.2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E619BB">
              <w:rPr>
                <w:lang w:val="en-GB"/>
              </w:rPr>
              <w:t xml:space="preserve"> </w:t>
            </w:r>
            <w:r>
              <w:rPr>
                <w:lang w:val="en-GB"/>
              </w:rPr>
              <w:t>Mobile sources of combustion</w:t>
            </w:r>
          </w:p>
        </w:tc>
        <w:tc>
          <w:tcPr>
            <w:tcW w:w="3686" w:type="dxa"/>
            <w:noWrap/>
            <w:hideMark/>
          </w:tcPr>
          <w:p w14:paraId="209D727B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Vehicles consumption</w:t>
            </w:r>
          </w:p>
        </w:tc>
        <w:tc>
          <w:tcPr>
            <w:tcW w:w="1553" w:type="dxa"/>
            <w:noWrap/>
            <w:hideMark/>
          </w:tcPr>
          <w:p w14:paraId="533DA170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20</w:t>
            </w:r>
          </w:p>
        </w:tc>
      </w:tr>
      <w:tr w:rsidR="00C002B5" w:rsidRPr="00006EE5" w14:paraId="0CDB7649" w14:textId="77777777" w:rsidTr="007D72B9">
        <w:trPr>
          <w:trHeight w:val="288"/>
          <w:jc w:val="center"/>
        </w:trPr>
        <w:tc>
          <w:tcPr>
            <w:tcW w:w="4537" w:type="dxa"/>
            <w:noWrap/>
            <w:hideMark/>
          </w:tcPr>
          <w:p w14:paraId="57565703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 w:rsidRPr="00F37078">
              <w:rPr>
                <w:b/>
                <w:bCs/>
                <w:lang w:val="en-GB"/>
              </w:rPr>
              <w:t>1.1</w:t>
            </w:r>
            <w:r w:rsidRPr="00E619BB">
              <w:rPr>
                <w:lang w:val="en-GB"/>
              </w:rPr>
              <w:t xml:space="preserve"> - </w:t>
            </w:r>
            <w:r>
              <w:rPr>
                <w:lang w:val="en-GB"/>
              </w:rPr>
              <w:t>Fixed sources of combustion</w:t>
            </w:r>
          </w:p>
        </w:tc>
        <w:tc>
          <w:tcPr>
            <w:tcW w:w="3686" w:type="dxa"/>
            <w:noWrap/>
            <w:hideMark/>
          </w:tcPr>
          <w:p w14:paraId="2654FA10" w14:textId="77777777" w:rsidR="00C002B5" w:rsidRPr="00E619BB" w:rsidRDefault="00C002B5" w:rsidP="002362BA">
            <w:pPr>
              <w:spacing w:before="10" w:after="10"/>
              <w:rPr>
                <w:lang w:val="en-GB"/>
              </w:rPr>
            </w:pPr>
            <w:r>
              <w:rPr>
                <w:lang w:val="en-GB"/>
              </w:rPr>
              <w:t>Buildings fuel consumption</w:t>
            </w:r>
          </w:p>
        </w:tc>
        <w:tc>
          <w:tcPr>
            <w:tcW w:w="1553" w:type="dxa"/>
            <w:noWrap/>
            <w:hideMark/>
          </w:tcPr>
          <w:p w14:paraId="250A07D6" w14:textId="77777777" w:rsidR="00C002B5" w:rsidRPr="00E619BB" w:rsidRDefault="00C002B5" w:rsidP="002362BA">
            <w:pPr>
              <w:spacing w:before="10" w:after="10"/>
              <w:rPr>
                <w:b/>
                <w:bCs/>
                <w:lang w:val="en-GB"/>
              </w:rPr>
            </w:pPr>
            <w:r w:rsidRPr="00E619BB">
              <w:rPr>
                <w:b/>
                <w:bCs/>
                <w:lang w:val="en-GB"/>
              </w:rPr>
              <w:t>15</w:t>
            </w:r>
          </w:p>
        </w:tc>
      </w:tr>
    </w:tbl>
    <w:p w14:paraId="4B3449CE" w14:textId="77777777" w:rsidR="000E19F2" w:rsidRDefault="000E19F2" w:rsidP="000E19F2"/>
    <w:p w14:paraId="62CA495C" w14:textId="19988232" w:rsidR="000E19F2" w:rsidRDefault="000E19F2" w:rsidP="000E19F2">
      <w:r>
        <w:t xml:space="preserve">Île-de-France Mobilités'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for 2016 </w:t>
      </w:r>
      <w:proofErr w:type="spellStart"/>
      <w:r>
        <w:t>was</w:t>
      </w:r>
      <w:proofErr w:type="spellEnd"/>
      <w:r>
        <w:t xml:space="preserve"> 7,500 TCO2</w:t>
      </w:r>
      <w:r w:rsidR="007D72B9">
        <w:t>e</w:t>
      </w:r>
      <w:r>
        <w:t xml:space="preserve">. The </w:t>
      </w:r>
      <w:proofErr w:type="spellStart"/>
      <w:r>
        <w:t>growth</w:t>
      </w:r>
      <w:proofErr w:type="spellEnd"/>
      <w:r>
        <w:t xml:space="preserve"> in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by </w:t>
      </w:r>
      <w:proofErr w:type="spellStart"/>
      <w:r>
        <w:t>three</w:t>
      </w:r>
      <w:proofErr w:type="spellEnd"/>
      <w:r>
        <w:t xml:space="preserve"> </w:t>
      </w:r>
      <w:proofErr w:type="spellStart"/>
      <w:proofErr w:type="gramStart"/>
      <w:r>
        <w:t>factors</w:t>
      </w:r>
      <w:proofErr w:type="spellEnd"/>
      <w:r>
        <w:t>:</w:t>
      </w:r>
      <w:proofErr w:type="gramEnd"/>
    </w:p>
    <w:p w14:paraId="4B8B3786" w14:textId="7DAE1B23" w:rsidR="000E19F2" w:rsidRDefault="000E19F2" w:rsidP="000E19F2">
      <w:pPr>
        <w:pStyle w:val="Paragraphedeliste"/>
        <w:numPr>
          <w:ilvl w:val="0"/>
          <w:numId w:val="1"/>
        </w:numPr>
      </w:pPr>
      <w:r>
        <w:t xml:space="preserve">The </w:t>
      </w:r>
      <w:proofErr w:type="spellStart"/>
      <w:r>
        <w:t>growth</w:t>
      </w:r>
      <w:proofErr w:type="spellEnd"/>
      <w:r>
        <w:t xml:space="preserve"> of Île-de-France Mobilités (48% </w:t>
      </w:r>
      <w:proofErr w:type="spellStart"/>
      <w:r>
        <w:t>increase</w:t>
      </w:r>
      <w:proofErr w:type="spellEnd"/>
      <w:r>
        <w:t xml:space="preserve"> in staff </w:t>
      </w:r>
      <w:proofErr w:type="spellStart"/>
      <w:r>
        <w:t>numbers</w:t>
      </w:r>
      <w:proofErr w:type="spellEnd"/>
      <w:r>
        <w:t xml:space="preserve"> over the </w:t>
      </w:r>
      <w:proofErr w:type="spellStart"/>
      <w:r>
        <w:t>period</w:t>
      </w:r>
      <w:proofErr w:type="spellEnd"/>
      <w:r>
        <w:t>)</w:t>
      </w:r>
    </w:p>
    <w:p w14:paraId="7A8822A8" w14:textId="032AFC2C" w:rsidR="000E19F2" w:rsidRDefault="000E19F2" w:rsidP="000E19F2">
      <w:r>
        <w:t xml:space="preserve">Changes in the scope of </w:t>
      </w:r>
      <w:proofErr w:type="spellStart"/>
      <w:r>
        <w:t>its</w:t>
      </w:r>
      <w:proofErr w:type="spellEnd"/>
      <w:r>
        <w:t xml:space="preserve"> missions. The </w:t>
      </w:r>
      <w:proofErr w:type="spellStart"/>
      <w:r>
        <w:t>opening</w:t>
      </w:r>
      <w:proofErr w:type="spellEnd"/>
      <w:r>
        <w:t xml:space="preserve"> up of transport networks to </w:t>
      </w:r>
      <w:proofErr w:type="spellStart"/>
      <w:r>
        <w:t>competition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led</w:t>
      </w:r>
      <w:proofErr w:type="spellEnd"/>
      <w:r>
        <w:t xml:space="preserve"> to a 10-fold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gramStart"/>
      <w:r>
        <w:t>assets;</w:t>
      </w:r>
      <w:proofErr w:type="gramEnd"/>
    </w:p>
    <w:p w14:paraId="153F3C88" w14:textId="049148A1" w:rsidR="000E19F2" w:rsidRDefault="000E19F2" w:rsidP="000E19F2">
      <w:r>
        <w:lastRenderedPageBreak/>
        <w:t xml:space="preserve">And </w:t>
      </w:r>
      <w:proofErr w:type="spellStart"/>
      <w:r>
        <w:t>finally</w:t>
      </w:r>
      <w:proofErr w:type="spellEnd"/>
      <w:r>
        <w:t xml:space="preserve">, changes in the </w:t>
      </w:r>
      <w:proofErr w:type="spellStart"/>
      <w:r>
        <w:t>carbon</w:t>
      </w:r>
      <w:proofErr w:type="spellEnd"/>
      <w:r>
        <w:t xml:space="preserve"> </w:t>
      </w:r>
      <w:proofErr w:type="spellStart"/>
      <w:r w:rsidR="003F5DE7">
        <w:t>footprint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(changes in the scope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and in the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).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for the item </w:t>
      </w:r>
      <w:proofErr w:type="spellStart"/>
      <w:r>
        <w:t>purchases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and services,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for 64% of Île-de-France </w:t>
      </w:r>
      <w:proofErr w:type="spellStart"/>
      <w:r>
        <w:t>Mobilité's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, and </w:t>
      </w:r>
      <w:proofErr w:type="spellStart"/>
      <w:r>
        <w:t>where</w:t>
      </w:r>
      <w:proofErr w:type="spellEnd"/>
      <w:r>
        <w:t xml:space="preserve"> 50% of the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2016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by a </w:t>
      </w:r>
      <w:proofErr w:type="spellStart"/>
      <w:r>
        <w:t>change</w:t>
      </w:r>
      <w:proofErr w:type="spellEnd"/>
      <w:r>
        <w:t xml:space="preserve"> in scope and the inclusion of all </w:t>
      </w:r>
      <w:proofErr w:type="spellStart"/>
      <w:r>
        <w:t>purchases</w:t>
      </w:r>
      <w:proofErr w:type="spellEnd"/>
      <w:r>
        <w:t xml:space="preserve">, </w:t>
      </w:r>
      <w:proofErr w:type="spellStart"/>
      <w:r>
        <w:t>whereas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certain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in the </w:t>
      </w:r>
      <w:proofErr w:type="spellStart"/>
      <w:r>
        <w:t>past</w:t>
      </w:r>
      <w:proofErr w:type="spellEnd"/>
      <w:r>
        <w:t>.</w:t>
      </w:r>
    </w:p>
    <w:p w14:paraId="73D99CB7" w14:textId="77777777" w:rsidR="00C002B5" w:rsidRDefault="00C002B5" w:rsidP="000E19F2"/>
    <w:p w14:paraId="7BBA79BF" w14:textId="1221521C" w:rsidR="00C002B5" w:rsidRDefault="00176213" w:rsidP="000E19F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E1E7DC" wp14:editId="28E686A3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552575" cy="1645920"/>
            <wp:effectExtent l="0" t="0" r="0" b="0"/>
            <wp:wrapTopAndBottom/>
            <wp:docPr id="816509824" name="Image 2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09824" name="Image 2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80"/>
                    <a:stretch/>
                  </pic:blipFill>
                  <pic:spPr bwMode="auto">
                    <a:xfrm>
                      <a:off x="0" y="0"/>
                      <a:ext cx="15525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02B2B35" wp14:editId="191B2FF1">
            <wp:simplePos x="0" y="0"/>
            <wp:positionH relativeFrom="margin">
              <wp:align>left</wp:align>
            </wp:positionH>
            <wp:positionV relativeFrom="paragraph">
              <wp:posOffset>1828165</wp:posOffset>
            </wp:positionV>
            <wp:extent cx="1762125" cy="522605"/>
            <wp:effectExtent l="0" t="0" r="9525" b="0"/>
            <wp:wrapTopAndBottom/>
            <wp:docPr id="371811762" name="Image 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11762" name="Image 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58"/>
                    <a:stretch/>
                  </pic:blipFill>
                  <pic:spPr bwMode="auto">
                    <a:xfrm>
                      <a:off x="0" y="0"/>
                      <a:ext cx="17621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2B5">
        <w:rPr>
          <w:noProof/>
        </w:rPr>
        <w:drawing>
          <wp:anchor distT="0" distB="0" distL="114300" distR="114300" simplePos="0" relativeHeight="251661312" behindDoc="0" locked="0" layoutInCell="1" allowOverlap="1" wp14:anchorId="77DB4094" wp14:editId="501E7B98">
            <wp:simplePos x="0" y="0"/>
            <wp:positionH relativeFrom="column">
              <wp:posOffset>2762250</wp:posOffset>
            </wp:positionH>
            <wp:positionV relativeFrom="paragraph">
              <wp:posOffset>285115</wp:posOffset>
            </wp:positionV>
            <wp:extent cx="3096895" cy="1511935"/>
            <wp:effectExtent l="0" t="0" r="0" b="0"/>
            <wp:wrapSquare wrapText="bothSides"/>
            <wp:docPr id="2088351096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51096" name="Image 1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0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03957"/>
    <w:multiLevelType w:val="hybridMultilevel"/>
    <w:tmpl w:val="DDE077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4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F2"/>
    <w:rsid w:val="000E19F2"/>
    <w:rsid w:val="00176213"/>
    <w:rsid w:val="00357CB4"/>
    <w:rsid w:val="003F5DE7"/>
    <w:rsid w:val="004F1101"/>
    <w:rsid w:val="00624C60"/>
    <w:rsid w:val="00727DD2"/>
    <w:rsid w:val="007D72B9"/>
    <w:rsid w:val="008A2497"/>
    <w:rsid w:val="00AA33DB"/>
    <w:rsid w:val="00C002B5"/>
    <w:rsid w:val="00D1441C"/>
    <w:rsid w:val="00D968DD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A275"/>
  <w15:chartTrackingRefBased/>
  <w15:docId w15:val="{56DD3052-9099-4C25-8245-0316F58E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1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1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1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1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1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1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1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1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1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1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1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19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19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19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19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19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19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1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1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1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19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19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19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1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19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19F2"/>
    <w:rPr>
      <w:b/>
      <w:bCs/>
      <w:smallCaps/>
      <w:color w:val="0F4761" w:themeColor="accent1" w:themeShade="BF"/>
      <w:spacing w:val="5"/>
    </w:rPr>
  </w:style>
  <w:style w:type="table" w:customStyle="1" w:styleId="TableauStyle1Inddigo">
    <w:name w:val="Tableau Style 1 Inddigo"/>
    <w:basedOn w:val="TableauNormal"/>
    <w:uiPriority w:val="99"/>
    <w:rsid w:val="00C002B5"/>
    <w:pPr>
      <w:spacing w:after="0" w:line="240" w:lineRule="auto"/>
      <w:jc w:val="center"/>
    </w:pPr>
    <w:rPr>
      <w:kern w:val="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E2841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ILE DE FRANCE MOBILITES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CHABENET</dc:creator>
  <cp:keywords/>
  <dc:description/>
  <cp:lastModifiedBy>Christophe CHABENET</cp:lastModifiedBy>
  <cp:revision>3</cp:revision>
  <dcterms:created xsi:type="dcterms:W3CDTF">2024-06-26T15:55:00Z</dcterms:created>
  <dcterms:modified xsi:type="dcterms:W3CDTF">2024-07-05T10:06:00Z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2c58dd-e63b-40f1-b1c5-7af95e47d410_Enabled">
    <vt:lpwstr>true</vt:lpwstr>
  </property>
  <property fmtid="{D5CDD505-2E9C-101B-9397-08002B2CF9AE}" pid="3" name="MSIP_Label_c52c58dd-e63b-40f1-b1c5-7af95e47d410_SetDate">
    <vt:lpwstr>2024-06-26T15:58:43Z</vt:lpwstr>
  </property>
  <property fmtid="{D5CDD505-2E9C-101B-9397-08002B2CF9AE}" pid="4" name="MSIP_Label_c52c58dd-e63b-40f1-b1c5-7af95e47d410_Method">
    <vt:lpwstr>Standard</vt:lpwstr>
  </property>
  <property fmtid="{D5CDD505-2E9C-101B-9397-08002B2CF9AE}" pid="5" name="MSIP_Label_c52c58dd-e63b-40f1-b1c5-7af95e47d410_Name">
    <vt:lpwstr>C1 - Standard</vt:lpwstr>
  </property>
  <property fmtid="{D5CDD505-2E9C-101B-9397-08002B2CF9AE}" pid="6" name="MSIP_Label_c52c58dd-e63b-40f1-b1c5-7af95e47d410_SiteId">
    <vt:lpwstr>7dce31e1-0e64-442b-9c26-4c8cc8af1fb1</vt:lpwstr>
  </property>
  <property fmtid="{D5CDD505-2E9C-101B-9397-08002B2CF9AE}" pid="7" name="MSIP_Label_c52c58dd-e63b-40f1-b1c5-7af95e47d410_ActionId">
    <vt:lpwstr>0d5f21cd-9dc2-4e04-a8ad-3f837bb81250</vt:lpwstr>
  </property>
  <property fmtid="{D5CDD505-2E9C-101B-9397-08002B2CF9AE}" pid="8" name="MSIP_Label_c52c58dd-e63b-40f1-b1c5-7af95e47d410_ContentBits">
    <vt:lpwstr>0</vt:lpwstr>
  </property>
</Properties>
</file>